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1E2BC">
      <w:pPr>
        <w:spacing w:after="0" w:line="240" w:lineRule="auto"/>
        <w:rPr>
          <w:rFonts w:hint="default" w:asciiTheme="minorHAnsi" w:hAnsiTheme="minorHAnsi"/>
          <w:b/>
          <w:sz w:val="24"/>
          <w:szCs w:val="24"/>
          <w:lang w:val="bs-Latn-BA"/>
        </w:rPr>
      </w:pPr>
      <w:r>
        <w:rPr>
          <w:rFonts w:asciiTheme="minorHAnsi" w:hAnsiTheme="minorHAnsi"/>
          <w:b/>
          <w:sz w:val="24"/>
          <w:szCs w:val="24"/>
          <w:lang w:val="hr-HR"/>
        </w:rPr>
        <w:t>UNIVERZITET U TUZLI</w:t>
      </w:r>
      <w:r>
        <w:rPr>
          <w:rFonts w:hint="default" w:asciiTheme="minorHAnsi" w:hAnsiTheme="minorHAnsi"/>
          <w:b/>
          <w:sz w:val="24"/>
          <w:szCs w:val="24"/>
          <w:lang w:val="bs-Latn-BA"/>
        </w:rPr>
        <w:tab/>
      </w:r>
      <w:r>
        <w:rPr>
          <w:rFonts w:hint="default" w:asciiTheme="minorHAnsi" w:hAnsiTheme="minorHAnsi"/>
          <w:b/>
          <w:sz w:val="24"/>
          <w:szCs w:val="24"/>
          <w:lang w:val="bs-Latn-BA"/>
        </w:rPr>
        <w:tab/>
      </w:r>
      <w:r>
        <w:rPr>
          <w:rFonts w:hint="default" w:asciiTheme="minorHAnsi" w:hAnsiTheme="minorHAnsi"/>
          <w:b/>
          <w:sz w:val="24"/>
          <w:szCs w:val="24"/>
          <w:lang w:val="bs-Latn-BA"/>
        </w:rPr>
        <w:tab/>
      </w:r>
      <w:r>
        <w:rPr>
          <w:rFonts w:hint="default" w:asciiTheme="minorHAnsi" w:hAnsiTheme="minorHAnsi"/>
          <w:b/>
          <w:sz w:val="24"/>
          <w:szCs w:val="24"/>
          <w:lang w:val="bs-Latn-BA"/>
        </w:rPr>
        <w:tab/>
      </w:r>
      <w:r>
        <w:rPr>
          <w:rFonts w:hint="default" w:asciiTheme="minorHAnsi" w:hAnsiTheme="minorHAnsi"/>
          <w:b/>
          <w:sz w:val="24"/>
          <w:szCs w:val="24"/>
          <w:lang w:val="bs-Latn-BA"/>
        </w:rPr>
        <w:tab/>
      </w:r>
      <w:r>
        <w:rPr>
          <w:rFonts w:hint="default" w:asciiTheme="minorHAnsi" w:hAnsiTheme="minorHAnsi"/>
          <w:b/>
          <w:sz w:val="24"/>
          <w:szCs w:val="24"/>
          <w:lang w:val="bs-Latn-BA"/>
        </w:rPr>
        <w:tab/>
      </w:r>
      <w:r>
        <w:rPr>
          <w:rFonts w:hint="default" w:asciiTheme="minorHAnsi" w:hAnsiTheme="minorHAnsi"/>
          <w:b/>
          <w:sz w:val="24"/>
          <w:szCs w:val="24"/>
          <w:lang w:val="bs-Latn-BA"/>
        </w:rPr>
        <w:tab/>
      </w:r>
    </w:p>
    <w:p w14:paraId="06F42598">
      <w:pPr>
        <w:spacing w:after="0" w:line="240" w:lineRule="auto"/>
        <w:rPr>
          <w:rFonts w:asciiTheme="minorHAnsi" w:hAnsiTheme="minorHAnsi"/>
          <w:b/>
          <w:sz w:val="24"/>
          <w:szCs w:val="24"/>
          <w:lang w:val="hr-HR"/>
        </w:rPr>
      </w:pPr>
      <w:r>
        <w:rPr>
          <w:rFonts w:asciiTheme="minorHAnsi" w:hAnsiTheme="minorHAnsi"/>
          <w:b/>
          <w:sz w:val="24"/>
          <w:szCs w:val="24"/>
          <w:lang w:val="hr-HR"/>
        </w:rPr>
        <w:t>AKADEMIJA DRAMSKIH UMJETNOSTI</w:t>
      </w:r>
    </w:p>
    <w:p w14:paraId="63078032">
      <w:pPr>
        <w:pStyle w:val="4"/>
        <w:rPr>
          <w:rFonts w:hint="default" w:asciiTheme="minorHAnsi" w:hAnsiTheme="minorHAnsi"/>
          <w:sz w:val="24"/>
          <w:szCs w:val="24"/>
          <w:lang w:val="bs-Latn-BA"/>
        </w:rPr>
      </w:pPr>
      <w:r>
        <w:rPr>
          <w:rFonts w:asciiTheme="minorHAnsi" w:hAnsiTheme="minorHAnsi"/>
          <w:bCs/>
          <w:sz w:val="24"/>
          <w:szCs w:val="24"/>
        </w:rPr>
        <w:t xml:space="preserve">Broj: </w:t>
      </w:r>
      <w:r>
        <w:rPr>
          <w:rFonts w:asciiTheme="minorHAnsi" w:hAnsiTheme="minorHAnsi"/>
          <w:color w:val="000000"/>
          <w:sz w:val="24"/>
          <w:szCs w:val="24"/>
        </w:rPr>
        <w:t>02/</w:t>
      </w:r>
      <w:r>
        <w:rPr>
          <w:rFonts w:asciiTheme="minorHAnsi" w:hAnsiTheme="minorHAnsi"/>
          <w:sz w:val="24"/>
          <w:szCs w:val="24"/>
        </w:rPr>
        <w:t>1-1-</w:t>
      </w:r>
      <w:r>
        <w:rPr>
          <w:rFonts w:hint="default" w:asciiTheme="minorHAnsi" w:hAnsiTheme="minorHAnsi"/>
          <w:sz w:val="24"/>
          <w:szCs w:val="24"/>
          <w:lang w:val="bs-Latn-BA"/>
        </w:rPr>
        <w:t>8648-1-1/25</w:t>
      </w:r>
    </w:p>
    <w:p w14:paraId="0EF7102D">
      <w:pPr>
        <w:pStyle w:val="4"/>
        <w:rPr>
          <w:rFonts w:asciiTheme="minorHAnsi" w:hAnsiTheme="minorHAnsi"/>
          <w:bCs/>
          <w:sz w:val="24"/>
          <w:szCs w:val="24"/>
          <w:shd w:val="clear" w:color="auto" w:fill="FFFFFF"/>
        </w:rPr>
      </w:pPr>
      <w:r>
        <w:rPr>
          <w:rFonts w:asciiTheme="minorHAnsi" w:hAnsiTheme="minorHAnsi"/>
          <w:bCs/>
          <w:sz w:val="24"/>
          <w:szCs w:val="24"/>
        </w:rPr>
        <w:t>Tuzla</w:t>
      </w:r>
      <w:r>
        <w:rPr>
          <w:rFonts w:asciiTheme="minorHAnsi" w:hAnsiTheme="minorHAnsi"/>
          <w:bCs/>
          <w:sz w:val="24"/>
          <w:szCs w:val="24"/>
          <w:shd w:val="clear" w:color="auto" w:fill="FFFFFF"/>
        </w:rPr>
        <w:t xml:space="preserve">, </w:t>
      </w:r>
      <w:r>
        <w:rPr>
          <w:rFonts w:hint="default" w:asciiTheme="minorHAnsi" w:hAnsiTheme="minorHAnsi"/>
          <w:bCs/>
          <w:sz w:val="24"/>
          <w:szCs w:val="24"/>
          <w:shd w:val="clear" w:color="auto" w:fill="FFFFFF"/>
          <w:lang w:val="bs-Latn-BA"/>
        </w:rPr>
        <w:t>18</w:t>
      </w:r>
      <w:r>
        <w:rPr>
          <w:rFonts w:asciiTheme="minorHAnsi" w:hAnsiTheme="minorHAnsi"/>
          <w:bCs/>
          <w:sz w:val="24"/>
          <w:szCs w:val="24"/>
          <w:shd w:val="clear" w:color="auto" w:fill="FFFFFF"/>
        </w:rPr>
        <w:t>.</w:t>
      </w:r>
      <w:r>
        <w:rPr>
          <w:rFonts w:hint="default" w:asciiTheme="minorHAnsi" w:hAnsiTheme="minorHAnsi"/>
          <w:bCs/>
          <w:sz w:val="24"/>
          <w:szCs w:val="24"/>
          <w:shd w:val="clear" w:color="auto" w:fill="FFFFFF"/>
          <w:lang w:val="bs-Latn-BA"/>
        </w:rPr>
        <w:t>11</w:t>
      </w:r>
      <w:r>
        <w:rPr>
          <w:rFonts w:asciiTheme="minorHAnsi" w:hAnsiTheme="minorHAnsi"/>
          <w:bCs/>
          <w:sz w:val="24"/>
          <w:szCs w:val="24"/>
          <w:shd w:val="clear" w:color="auto" w:fill="FFFFFF"/>
        </w:rPr>
        <w:t>.202</w:t>
      </w:r>
      <w:r>
        <w:rPr>
          <w:rFonts w:asciiTheme="minorHAnsi" w:hAnsiTheme="minorHAnsi"/>
          <w:bCs/>
          <w:sz w:val="24"/>
          <w:szCs w:val="24"/>
          <w:shd w:val="clear" w:color="auto" w:fill="FFFFFF"/>
          <w:lang w:val="bs-Latn-BA"/>
        </w:rPr>
        <w:t>5</w:t>
      </w:r>
      <w:r>
        <w:rPr>
          <w:rFonts w:asciiTheme="minorHAnsi" w:hAnsiTheme="minorHAnsi"/>
          <w:bCs/>
          <w:sz w:val="24"/>
          <w:szCs w:val="24"/>
          <w:shd w:val="clear" w:color="auto" w:fill="FFFFFF"/>
        </w:rPr>
        <w:t xml:space="preserve">. godine </w:t>
      </w:r>
    </w:p>
    <w:p w14:paraId="53FF1F07">
      <w:pPr>
        <w:pStyle w:val="4"/>
        <w:rPr>
          <w:rFonts w:asciiTheme="minorHAnsi" w:hAnsiTheme="minorHAnsi"/>
          <w:sz w:val="24"/>
          <w:szCs w:val="24"/>
        </w:rPr>
      </w:pPr>
    </w:p>
    <w:p w14:paraId="1C0B6628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AB949D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Na osnovu člana 70. stav 3. tačka m) Zakona o visokom obrazovanju („Službene novine Tuzlanskog kantona“ broj: </w:t>
      </w:r>
      <w:r>
        <w:rPr>
          <w:rFonts w:asciiTheme="minorHAnsi" w:hAnsiTheme="minorHAnsi"/>
          <w:color w:val="000000"/>
          <w:sz w:val="24"/>
          <w:szCs w:val="24"/>
        </w:rPr>
        <w:t>21/21, 22/21, 5/22, 11/22</w:t>
      </w:r>
      <w:r>
        <w:rPr>
          <w:rFonts w:hint="default" w:asciiTheme="minorHAnsi" w:hAnsiTheme="minorHAnsi"/>
          <w:color w:val="000000"/>
          <w:sz w:val="24"/>
          <w:szCs w:val="24"/>
          <w:lang w:val="bs-Latn-BA"/>
        </w:rPr>
        <w:t>,</w:t>
      </w:r>
      <w:r>
        <w:rPr>
          <w:rFonts w:asciiTheme="minorHAnsi" w:hAnsiTheme="minorHAnsi"/>
          <w:color w:val="000000"/>
          <w:sz w:val="24"/>
          <w:szCs w:val="24"/>
        </w:rPr>
        <w:t xml:space="preserve"> 16/22</w:t>
      </w:r>
      <w:r>
        <w:rPr>
          <w:rFonts w:hint="default" w:asciiTheme="minorHAnsi" w:hAnsiTheme="minorHAnsi"/>
          <w:color w:val="000000"/>
          <w:sz w:val="24"/>
          <w:szCs w:val="24"/>
          <w:lang w:val="bs-Latn-BA"/>
        </w:rPr>
        <w:t xml:space="preserve"> i 14/25</w:t>
      </w:r>
      <w:r>
        <w:rPr>
          <w:rFonts w:asciiTheme="minorHAnsi" w:hAnsiTheme="minorHAnsi"/>
          <w:sz w:val="24"/>
          <w:szCs w:val="24"/>
        </w:rPr>
        <w:t>) i člana 125. stav (1) tačka m)Statuta JU Univerzitet u Tuzli (Prečišćeni tekst) broj: 03-5695-1-2/23 od 18.10.2023. godine</w:t>
      </w:r>
      <w:r>
        <w:rPr>
          <w:rFonts w:asciiTheme="minorHAnsi" w:hAnsiTheme="minorHAnsi"/>
          <w:sz w:val="24"/>
          <w:szCs w:val="24"/>
          <w:lang w:val="hr-BA"/>
        </w:rPr>
        <w:t>,</w:t>
      </w:r>
      <w:r>
        <w:rPr>
          <w:rFonts w:cs="Calibri"/>
          <w:sz w:val="24"/>
          <w:szCs w:val="24"/>
        </w:rPr>
        <w:t xml:space="preserve">Odluke o izmjenama i dopunama Statuta JU Univerzitet u Tuzli (Prečišćeni tekst) broj: 03-3905-1-1/243 od 09.07.2024. godine i Odluke o dopunama Statuta JU Univerzitet u Tuzli (Prečišćeni tekst) broj: 03-5111-1-1/24 od 19.09.2024. godine, </w:t>
      </w:r>
      <w:r>
        <w:rPr>
          <w:rFonts w:asciiTheme="minorHAnsi" w:hAnsiTheme="minorHAnsi"/>
          <w:sz w:val="24"/>
          <w:szCs w:val="24"/>
        </w:rPr>
        <w:t xml:space="preserve">Umjetničko – nastavno vijeće Akademije dramskih umjetnosti u Tuzli na </w:t>
      </w:r>
      <w:r>
        <w:rPr>
          <w:rFonts w:hint="default" w:asciiTheme="minorHAnsi" w:hAnsiTheme="minorHAnsi"/>
          <w:sz w:val="24"/>
          <w:szCs w:val="24"/>
          <w:lang w:val="bs-Latn-BA"/>
        </w:rPr>
        <w:t>IV</w:t>
      </w:r>
      <w:r>
        <w:rPr>
          <w:rFonts w:asciiTheme="minorHAnsi" w:hAnsiTheme="minorHAnsi"/>
          <w:sz w:val="24"/>
          <w:szCs w:val="24"/>
        </w:rPr>
        <w:t xml:space="preserve"> (</w:t>
      </w:r>
      <w:r>
        <w:rPr>
          <w:rFonts w:asciiTheme="minorHAnsi" w:hAnsiTheme="minorHAnsi"/>
          <w:sz w:val="24"/>
          <w:szCs w:val="24"/>
          <w:lang w:val="bs-Latn-BA"/>
        </w:rPr>
        <w:t>č</w:t>
      </w:r>
      <w:r>
        <w:rPr>
          <w:rFonts w:hint="default" w:asciiTheme="minorHAnsi" w:hAnsiTheme="minorHAnsi"/>
          <w:sz w:val="24"/>
          <w:szCs w:val="24"/>
          <w:lang w:val="bs-Latn-BA"/>
        </w:rPr>
        <w:t>etvrtoj</w:t>
      </w:r>
      <w:r>
        <w:rPr>
          <w:rFonts w:asciiTheme="minorHAnsi" w:hAnsiTheme="minorHAnsi"/>
          <w:sz w:val="24"/>
          <w:szCs w:val="24"/>
        </w:rPr>
        <w:t xml:space="preserve">) vanrednoj sjednici održanoj dana </w:t>
      </w:r>
      <w:r>
        <w:rPr>
          <w:rFonts w:hint="default" w:asciiTheme="minorHAnsi" w:hAnsiTheme="minorHAnsi"/>
          <w:sz w:val="24"/>
          <w:szCs w:val="24"/>
          <w:lang w:val="bs-Latn-BA"/>
        </w:rPr>
        <w:t>18</w:t>
      </w:r>
      <w:r>
        <w:rPr>
          <w:rFonts w:asciiTheme="minorHAnsi" w:hAnsiTheme="minorHAnsi"/>
          <w:sz w:val="24"/>
          <w:szCs w:val="24"/>
        </w:rPr>
        <w:t>.</w:t>
      </w:r>
      <w:r>
        <w:rPr>
          <w:rFonts w:hint="default" w:asciiTheme="minorHAnsi" w:hAnsiTheme="minorHAnsi"/>
          <w:sz w:val="24"/>
          <w:szCs w:val="24"/>
          <w:lang w:val="bs-Latn-BA"/>
        </w:rPr>
        <w:t>11</w:t>
      </w:r>
      <w:r>
        <w:rPr>
          <w:rFonts w:asciiTheme="minorHAnsi" w:hAnsiTheme="minorHAnsi"/>
          <w:sz w:val="24"/>
          <w:szCs w:val="24"/>
        </w:rPr>
        <w:t>.2025. godine je utvrdilo</w:t>
      </w:r>
    </w:p>
    <w:p w14:paraId="2E233475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B0A5CDC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</w:p>
    <w:p w14:paraId="4145DBA6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P R I J E D L O G </w:t>
      </w:r>
      <w:r>
        <w:rPr>
          <w:rFonts w:asciiTheme="minorHAnsi" w:hAnsiTheme="minorHAnsi"/>
          <w:b/>
          <w:bCs/>
          <w:sz w:val="24"/>
          <w:szCs w:val="24"/>
        </w:rPr>
        <w:br w:type="textWrapping"/>
      </w:r>
      <w:r>
        <w:rPr>
          <w:rFonts w:asciiTheme="minorHAnsi" w:hAnsiTheme="minorHAnsi"/>
          <w:b/>
          <w:bCs/>
          <w:sz w:val="24"/>
          <w:szCs w:val="24"/>
        </w:rPr>
        <w:t xml:space="preserve"> </w:t>
      </w:r>
      <w:r>
        <w:rPr>
          <w:rFonts w:hint="default" w:asciiTheme="minorHAnsi" w:hAnsiTheme="minorHAnsi"/>
          <w:b/>
          <w:bCs/>
          <w:sz w:val="24"/>
          <w:szCs w:val="24"/>
          <w:lang w:val="bs-Latn-BA"/>
        </w:rPr>
        <w:t xml:space="preserve">izmjene i dopune </w:t>
      </w:r>
      <w:r>
        <w:rPr>
          <w:rFonts w:asciiTheme="minorHAnsi" w:hAnsiTheme="minorHAnsi"/>
          <w:b/>
          <w:bCs/>
          <w:sz w:val="24"/>
          <w:szCs w:val="24"/>
        </w:rPr>
        <w:t xml:space="preserve">Plana realizacije nastave na prvom ciklusu studija </w:t>
      </w:r>
    </w:p>
    <w:p w14:paraId="626008DA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na Akademiji dramskih umjetnosti Univerziteta u Tuzli </w:t>
      </w:r>
    </w:p>
    <w:p w14:paraId="69C8FF12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u akademskoj 2025/26. godini</w:t>
      </w:r>
    </w:p>
    <w:p w14:paraId="74B28DD3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</w:p>
    <w:p w14:paraId="196B5788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6C35FFAE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I</w:t>
      </w:r>
    </w:p>
    <w:p w14:paraId="55FC7E0C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Predlaže se usvajanje </w:t>
      </w:r>
      <w:r>
        <w:rPr>
          <w:rFonts w:hint="default" w:asciiTheme="minorHAnsi" w:hAnsiTheme="minorHAnsi"/>
          <w:sz w:val="24"/>
          <w:szCs w:val="24"/>
          <w:lang w:val="bs-Latn-BA"/>
        </w:rPr>
        <w:t xml:space="preserve">izmjene i dopune </w:t>
      </w:r>
      <w:r>
        <w:rPr>
          <w:rFonts w:asciiTheme="minorHAnsi" w:hAnsiTheme="minorHAnsi"/>
          <w:sz w:val="24"/>
          <w:szCs w:val="24"/>
        </w:rPr>
        <w:t>Plana realizacije nastave na prvom ciklusu studija Akademije dramskih umjetnosti Univerziteta u Tuzli u akademskoj 2025/26. godini.</w:t>
      </w:r>
    </w:p>
    <w:p w14:paraId="52EEDC7D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4D24C87E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II</w:t>
      </w:r>
    </w:p>
    <w:p w14:paraId="3933649A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Sastavni dio ovog Prijedloga je Plan realizacije nastave.</w:t>
      </w:r>
    </w:p>
    <w:p w14:paraId="1C93B708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3F701B0D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III</w:t>
      </w:r>
    </w:p>
    <w:p w14:paraId="2DAD4422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Ovaj Prijedlog dostavlja se Senatu Univerziteta u Tuzli na dalji postupak.</w:t>
      </w:r>
    </w:p>
    <w:p w14:paraId="3DF1A5C2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47EB2D34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7B5E258A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1A2C6F17">
      <w:pPr>
        <w:pStyle w:val="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PREDSJEDAVAJUĆ</w:t>
      </w:r>
      <w:r>
        <w:rPr>
          <w:rFonts w:hint="default" w:asciiTheme="minorHAnsi" w:hAnsiTheme="minorHAnsi"/>
          <w:sz w:val="24"/>
          <w:szCs w:val="24"/>
          <w:lang w:val="bs-Latn-BA"/>
        </w:rPr>
        <w:t>I</w:t>
      </w:r>
      <w:r>
        <w:rPr>
          <w:rFonts w:asciiTheme="minorHAnsi" w:hAnsiTheme="minorHAnsi"/>
          <w:sz w:val="24"/>
          <w:szCs w:val="24"/>
        </w:rPr>
        <w:tab/>
      </w:r>
    </w:p>
    <w:p w14:paraId="39759CDC">
      <w:pPr>
        <w:pStyle w:val="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        UMJETNIČKO - NASTAVNOG VIJEĆA</w:t>
      </w:r>
    </w:p>
    <w:p w14:paraId="59F8D04A">
      <w:pPr>
        <w:pStyle w:val="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14:paraId="07638BB5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14:paraId="2F419C2C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</w:t>
      </w:r>
      <w:r>
        <w:rPr>
          <w:rFonts w:hint="default" w:asciiTheme="minorHAnsi" w:hAnsiTheme="minorHAnsi"/>
          <w:sz w:val="24"/>
          <w:szCs w:val="24"/>
          <w:lang w:val="bs-Latn-BA"/>
        </w:rPr>
        <w:t>m</w:t>
      </w:r>
      <w:r>
        <w:rPr>
          <w:rFonts w:asciiTheme="minorHAnsi" w:hAnsiTheme="minorHAnsi"/>
          <w:sz w:val="24"/>
          <w:szCs w:val="24"/>
        </w:rPr>
        <w:t xml:space="preserve">r.sc. </w:t>
      </w:r>
      <w:r>
        <w:rPr>
          <w:rFonts w:hint="default" w:asciiTheme="minorHAnsi" w:hAnsiTheme="minorHAnsi"/>
          <w:sz w:val="24"/>
          <w:szCs w:val="24"/>
          <w:lang w:val="bs-Latn-BA"/>
        </w:rPr>
        <w:t>Damir Altumbabić,</w:t>
      </w:r>
      <w:r>
        <w:rPr>
          <w:rFonts w:asciiTheme="minorHAnsi" w:hAnsiTheme="minorHAnsi"/>
          <w:sz w:val="24"/>
          <w:szCs w:val="24"/>
        </w:rPr>
        <w:t xml:space="preserve"> red.prof.</w:t>
      </w:r>
    </w:p>
    <w:p w14:paraId="2AF53992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26EE6733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DOSTAVITI:</w:t>
      </w:r>
    </w:p>
    <w:p w14:paraId="033176AA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 x Senat Univerziteta</w:t>
      </w:r>
    </w:p>
    <w:p w14:paraId="15E70920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 x Ured za nastavu i studentska pitanja</w:t>
      </w:r>
    </w:p>
    <w:p w14:paraId="60373726">
      <w:pPr>
        <w:spacing w:after="0" w:line="240" w:lineRule="auto"/>
        <w:jc w:val="both"/>
        <w:rPr>
          <w:rFonts w:hint="default" w:ascii="Times New Roman" w:hAnsi="Times New Roman"/>
          <w:sz w:val="24"/>
          <w:szCs w:val="24"/>
          <w:lang w:val="bs-Latn-BA"/>
        </w:rPr>
        <w:sectPr>
          <w:pgSz w:w="11906" w:h="16838"/>
          <w:pgMar w:top="760" w:right="1800" w:bottom="646" w:left="1800" w:header="720" w:footer="720" w:gutter="0"/>
          <w:cols w:space="720" w:num="1"/>
          <w:docGrid w:linePitch="360" w:charSpace="0"/>
        </w:sectPr>
      </w:pPr>
      <w:r>
        <w:rPr>
          <w:rFonts w:asciiTheme="minorHAnsi" w:hAnsiTheme="minorHAnsi"/>
          <w:sz w:val="24"/>
          <w:szCs w:val="24"/>
        </w:rPr>
        <w:t>1 x Evidencija UNV-</w:t>
      </w:r>
      <w:r>
        <w:rPr>
          <w:rFonts w:hint="default" w:asciiTheme="minorHAnsi" w:hAnsiTheme="minorHAnsi"/>
          <w:sz w:val="24"/>
          <w:szCs w:val="24"/>
          <w:lang w:val="bs-Latn-BA"/>
        </w:rPr>
        <w:t>a</w:t>
      </w:r>
    </w:p>
    <w:p w14:paraId="41FE7594">
      <w:pPr>
        <w:pStyle w:val="4"/>
        <w:jc w:val="center"/>
        <w:rPr>
          <w:rFonts w:ascii="Times New Roman" w:hAnsi="Times New Roman"/>
          <w:sz w:val="20"/>
          <w:szCs w:val="20"/>
          <w:lang w:val="bs-Latn-BA"/>
        </w:rPr>
      </w:pPr>
      <w:bookmarkStart w:id="0" w:name="_GoBack"/>
      <w:bookmarkEnd w:id="0"/>
    </w:p>
    <w:p w14:paraId="18DB7B70">
      <w:pPr>
        <w:pStyle w:val="4"/>
        <w:jc w:val="center"/>
        <w:rPr>
          <w:rFonts w:ascii="Times New Roman" w:hAnsi="Times New Roman"/>
          <w:sz w:val="20"/>
          <w:szCs w:val="20"/>
          <w:lang w:val="bs-Latn-BA"/>
        </w:rPr>
      </w:pPr>
    </w:p>
    <w:p w14:paraId="768E9D37">
      <w:pPr>
        <w:pStyle w:val="4"/>
        <w:jc w:val="center"/>
        <w:rPr>
          <w:rFonts w:ascii="Times New Roman" w:hAnsi="Times New Roman"/>
          <w:b/>
          <w:sz w:val="20"/>
          <w:szCs w:val="20"/>
          <w:lang w:val="bs-Latn-BA"/>
        </w:rPr>
      </w:pPr>
      <w:r>
        <w:rPr>
          <w:rFonts w:ascii="Times New Roman" w:hAnsi="Times New Roman"/>
          <w:b/>
          <w:sz w:val="20"/>
          <w:szCs w:val="20"/>
          <w:lang w:val="bs-Latn-BA"/>
        </w:rPr>
        <w:t xml:space="preserve">STUDIJSKI PROGRAM/ODSJEK: </w:t>
      </w:r>
    </w:p>
    <w:p w14:paraId="18E5F543">
      <w:pPr>
        <w:pStyle w:val="4"/>
        <w:jc w:val="center"/>
        <w:rPr>
          <w:rFonts w:ascii="Times New Roman" w:hAnsi="Times New Roman"/>
          <w:sz w:val="20"/>
          <w:szCs w:val="20"/>
          <w:lang w:val="bs-Latn-BA"/>
        </w:rPr>
      </w:pPr>
      <w:r>
        <w:rPr>
          <w:rFonts w:ascii="Times New Roman" w:hAnsi="Times New Roman"/>
          <w:b/>
          <w:sz w:val="20"/>
          <w:szCs w:val="20"/>
          <w:lang w:val="bs-Latn-BA"/>
        </w:rPr>
        <w:t>„GLUMA“</w:t>
      </w:r>
      <w:r>
        <w:rPr>
          <w:rFonts w:ascii="Times New Roman" w:hAnsi="Times New Roman"/>
          <w:sz w:val="20"/>
          <w:szCs w:val="20"/>
          <w:lang w:val="bs-Latn-BA"/>
        </w:rPr>
        <w:t xml:space="preserve"> i </w:t>
      </w:r>
      <w:r>
        <w:rPr>
          <w:rFonts w:ascii="Times New Roman" w:hAnsi="Times New Roman"/>
          <w:b/>
          <w:sz w:val="20"/>
          <w:szCs w:val="20"/>
          <w:lang w:val="bs-Latn-BA"/>
        </w:rPr>
        <w:t>„PRODUKCIJA“</w:t>
      </w:r>
      <w:r>
        <w:rPr>
          <w:rFonts w:ascii="Times New Roman" w:hAnsi="Times New Roman"/>
          <w:sz w:val="20"/>
          <w:szCs w:val="20"/>
          <w:lang w:val="bs-Latn-BA"/>
        </w:rPr>
        <w:t xml:space="preserve"> na Akademiji dramskih umjetnosti, </w:t>
      </w:r>
    </w:p>
    <w:p w14:paraId="7DFB0625">
      <w:pPr>
        <w:pStyle w:val="4"/>
        <w:jc w:val="center"/>
        <w:rPr>
          <w:rFonts w:ascii="Times New Roman" w:hAnsi="Times New Roman"/>
          <w:sz w:val="20"/>
          <w:szCs w:val="20"/>
          <w:lang w:val="bs-Latn-BA"/>
        </w:rPr>
      </w:pPr>
      <w:r>
        <w:rPr>
          <w:rFonts w:ascii="Times New Roman" w:hAnsi="Times New Roman"/>
          <w:sz w:val="20"/>
          <w:szCs w:val="20"/>
          <w:lang w:val="bs-Latn-BA"/>
        </w:rPr>
        <w:t xml:space="preserve">ZA  AKADEMSKU 2025/26. GODINE. </w:t>
      </w:r>
    </w:p>
    <w:p w14:paraId="072787E6">
      <w:pPr>
        <w:pStyle w:val="4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 </w:t>
      </w:r>
    </w:p>
    <w:tbl>
      <w:tblPr>
        <w:tblStyle w:val="3"/>
        <w:tblW w:w="14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9"/>
        <w:gridCol w:w="999"/>
        <w:gridCol w:w="1097"/>
        <w:gridCol w:w="2298"/>
        <w:gridCol w:w="1110"/>
        <w:gridCol w:w="2352"/>
        <w:gridCol w:w="990"/>
        <w:gridCol w:w="2557"/>
      </w:tblGrid>
      <w:tr w14:paraId="09DBE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189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618896C0">
            <w:pPr>
              <w:pStyle w:val="4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 xml:space="preserve">Nastavni predmet </w:t>
            </w:r>
          </w:p>
          <w:p w14:paraId="5DD56B32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(Obavezni / Izborni)  </w:t>
            </w:r>
          </w:p>
        </w:tc>
        <w:tc>
          <w:tcPr>
            <w:tcW w:w="999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5EF9E3C0">
            <w:pPr>
              <w:pStyle w:val="4"/>
              <w:rPr>
                <w:rFonts w:ascii="Times New Roman" w:hAnsi="Times New Roman"/>
                <w:b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s-Latn-BA"/>
              </w:rPr>
              <w:t>Godina studija/ semestar</w:t>
            </w:r>
          </w:p>
        </w:tc>
        <w:tc>
          <w:tcPr>
            <w:tcW w:w="1097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3085B385">
            <w:pPr>
              <w:pStyle w:val="4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Fond sati</w:t>
            </w:r>
          </w:p>
        </w:tc>
        <w:tc>
          <w:tcPr>
            <w:tcW w:w="3408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8E11B76">
            <w:pPr>
              <w:pStyle w:val="4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Prethodna pokrivenost nastave</w:t>
            </w:r>
          </w:p>
        </w:tc>
        <w:tc>
          <w:tcPr>
            <w:tcW w:w="3342" w:type="dxa"/>
            <w:gridSpan w:val="2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73193BF">
            <w:pPr>
              <w:pStyle w:val="4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Izmjene pokrivenosti nastave</w:t>
            </w:r>
          </w:p>
        </w:tc>
        <w:tc>
          <w:tcPr>
            <w:tcW w:w="2557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1E299D62">
            <w:pPr>
              <w:pStyle w:val="4"/>
              <w:rPr>
                <w:rFonts w:ascii="Times New Roman" w:hAnsi="Times New Roman"/>
                <w:lang w:val="bs-Latn-BA"/>
              </w:rPr>
            </w:pPr>
          </w:p>
          <w:p w14:paraId="14A071EA">
            <w:pPr>
              <w:pStyle w:val="4"/>
              <w:rPr>
                <w:rFonts w:ascii="Times New Roman" w:hAnsi="Times New Roman"/>
                <w:lang w:val="bs-Latn-BA"/>
              </w:rPr>
            </w:pPr>
          </w:p>
          <w:p w14:paraId="1A7181FD">
            <w:pPr>
              <w:pStyle w:val="4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 xml:space="preserve">Napomena: </w:t>
            </w:r>
          </w:p>
          <w:p w14:paraId="3C14C2C0">
            <w:pPr>
              <w:pStyle w:val="4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lang w:val="bs-Latn-BA"/>
              </w:rPr>
              <w:t xml:space="preserve">(razlog izmjene) </w:t>
            </w:r>
          </w:p>
        </w:tc>
      </w:tr>
      <w:tr w14:paraId="405C3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3189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B6DCF81">
            <w:pPr>
              <w:pStyle w:val="4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999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62072072">
            <w:pPr>
              <w:pStyle w:val="4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1097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6CD05146">
            <w:pPr>
              <w:pStyle w:val="4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229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8634FD8">
            <w:pPr>
              <w:pStyle w:val="4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Nastavnik/saradnik</w:t>
            </w:r>
          </w:p>
        </w:tc>
        <w:tc>
          <w:tcPr>
            <w:tcW w:w="111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3BE3BCB">
            <w:pPr>
              <w:pStyle w:val="4"/>
              <w:rPr>
                <w:rFonts w:ascii="Times New Roman" w:hAnsi="Times New Roman"/>
                <w:b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s-Latn-BA"/>
              </w:rPr>
              <w:t xml:space="preserve">Broj planiranih sati. </w:t>
            </w:r>
          </w:p>
          <w:p w14:paraId="5C4CFE79">
            <w:pPr>
              <w:pStyle w:val="4"/>
              <w:rPr>
                <w:rFonts w:ascii="Times New Roman" w:hAnsi="Times New Roman"/>
                <w:b/>
                <w:lang w:val="bs-Latn-BA"/>
              </w:rPr>
            </w:pPr>
          </w:p>
        </w:tc>
        <w:tc>
          <w:tcPr>
            <w:tcW w:w="235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5EE164F">
            <w:pPr>
              <w:pStyle w:val="4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Nastavnik/saradnik</w:t>
            </w:r>
          </w:p>
        </w:tc>
        <w:tc>
          <w:tcPr>
            <w:tcW w:w="990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1E1319F">
            <w:pPr>
              <w:pStyle w:val="4"/>
              <w:rPr>
                <w:rFonts w:ascii="Times New Roman" w:hAnsi="Times New Roman"/>
                <w:b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s-Latn-BA"/>
              </w:rPr>
              <w:t xml:space="preserve">Broj planiranh sati. </w:t>
            </w:r>
          </w:p>
          <w:p w14:paraId="73A6EECB">
            <w:pPr>
              <w:pStyle w:val="4"/>
              <w:rPr>
                <w:rFonts w:ascii="Times New Roman" w:hAnsi="Times New Roman"/>
                <w:b/>
                <w:lang w:val="bs-Latn-BA"/>
              </w:rPr>
            </w:pPr>
          </w:p>
        </w:tc>
        <w:tc>
          <w:tcPr>
            <w:tcW w:w="255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22BB2BD">
            <w:pPr>
              <w:pStyle w:val="4"/>
              <w:rPr>
                <w:rFonts w:ascii="Times New Roman" w:hAnsi="Times New Roman"/>
                <w:lang w:val="bs-Latn-BA"/>
              </w:rPr>
            </w:pPr>
          </w:p>
        </w:tc>
      </w:tr>
      <w:tr w14:paraId="07BED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18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1B18D191">
            <w:pPr>
              <w:pStyle w:val="4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Tehnika glasa I</w:t>
            </w:r>
          </w:p>
          <w:p w14:paraId="5C51DC2E">
            <w:pPr>
              <w:pStyle w:val="4"/>
              <w:rPr>
                <w:rFonts w:ascii="Times New Roman" w:hAnsi="Times New Roman"/>
                <w:lang w:val="bs-Latn-BA"/>
              </w:rPr>
            </w:pPr>
          </w:p>
          <w:p w14:paraId="32823CF5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Studijski program: „Gluma“ </w:t>
            </w:r>
          </w:p>
          <w:p w14:paraId="2D21991A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Uža umjetnička oblast: „Gluma“ </w:t>
            </w:r>
          </w:p>
          <w:p w14:paraId="13FE49F4">
            <w:pPr>
              <w:pStyle w:val="4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(Obavezni).</w:t>
            </w:r>
            <w:r>
              <w:rPr>
                <w:rFonts w:ascii="Times New Roman" w:hAnsi="Times New Roman"/>
                <w:lang w:val="bs-Latn-BA"/>
              </w:rPr>
              <w:t xml:space="preserve"> </w:t>
            </w:r>
          </w:p>
        </w:tc>
        <w:tc>
          <w:tcPr>
            <w:tcW w:w="99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2C8479BC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I/II</w:t>
            </w:r>
          </w:p>
        </w:tc>
        <w:tc>
          <w:tcPr>
            <w:tcW w:w="1097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6702099B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2+1 </w:t>
            </w:r>
          </w:p>
          <w:p w14:paraId="0964396E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 </w:t>
            </w:r>
          </w:p>
          <w:p w14:paraId="560EEDE4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</w:tc>
        <w:tc>
          <w:tcPr>
            <w:tcW w:w="229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6EA1FAB9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Emina Goletić Faković MA, docent</w:t>
            </w:r>
          </w:p>
          <w:p w14:paraId="682B4BA9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6B051E4E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Edin Suljetović,stručnjak iz prakse</w:t>
            </w:r>
          </w:p>
        </w:tc>
        <w:tc>
          <w:tcPr>
            <w:tcW w:w="111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362880C6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2 P </w:t>
            </w:r>
          </w:p>
          <w:p w14:paraId="0A2E9709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29621F9E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50F7AABC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1V</w:t>
            </w:r>
          </w:p>
          <w:p w14:paraId="46F006B3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</w:tc>
        <w:tc>
          <w:tcPr>
            <w:tcW w:w="235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040E1374">
            <w:pPr>
              <w:pStyle w:val="4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Emina Goletić Faković MA, docent</w:t>
            </w:r>
          </w:p>
          <w:p w14:paraId="1EE38706">
            <w:pPr>
              <w:pStyle w:val="4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</w:p>
          <w:p w14:paraId="1ECA10A8">
            <w:pPr>
              <w:pStyle w:val="4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Alisa Brkić MA, viši asistent</w:t>
            </w:r>
          </w:p>
          <w:p w14:paraId="0642B57F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5B3D9FF9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50AAC9B8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3D7413D1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</w:tc>
        <w:tc>
          <w:tcPr>
            <w:tcW w:w="99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15CFC2DA">
            <w:pPr>
              <w:pStyle w:val="4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2 P</w:t>
            </w:r>
          </w:p>
          <w:p w14:paraId="34DD8FB0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777CAF05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721C1CE0">
            <w:pPr>
              <w:pStyle w:val="4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 xml:space="preserve">1 V </w:t>
            </w:r>
          </w:p>
          <w:p w14:paraId="116B416E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36CDC015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489B5909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3E1E3FEE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75785DDD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</w:tc>
        <w:tc>
          <w:tcPr>
            <w:tcW w:w="255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B2CE788">
            <w:pPr>
              <w:pStyle w:val="4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 xml:space="preserve">Obrazloženje: </w:t>
            </w:r>
          </w:p>
          <w:p w14:paraId="2820E031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Prijedlog za Izmjene i dopune PRN-e sačinjen je na osnovu tupanja u radni odnos saradnika u saradničko zvanje viši asistent.</w:t>
            </w:r>
          </w:p>
        </w:tc>
      </w:tr>
      <w:tr w14:paraId="3439B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18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2370DEF1">
            <w:pPr>
              <w:pStyle w:val="4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Scenski govor VII</w:t>
            </w:r>
          </w:p>
          <w:p w14:paraId="0CA5E9A9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Studijski program: „Gluma“ </w:t>
            </w:r>
          </w:p>
          <w:p w14:paraId="2C647F61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Uža umjetnička oblast: „Gluma“ </w:t>
            </w:r>
          </w:p>
          <w:p w14:paraId="6646F479">
            <w:pPr>
              <w:pStyle w:val="4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(Izborni). </w:t>
            </w:r>
          </w:p>
        </w:tc>
        <w:tc>
          <w:tcPr>
            <w:tcW w:w="99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5DB9E855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IV/VII</w:t>
            </w:r>
          </w:p>
        </w:tc>
        <w:tc>
          <w:tcPr>
            <w:tcW w:w="1097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3AB675B0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2+4 </w:t>
            </w:r>
          </w:p>
          <w:p w14:paraId="170C1C67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 </w:t>
            </w:r>
          </w:p>
        </w:tc>
        <w:tc>
          <w:tcPr>
            <w:tcW w:w="229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7CB9F8C4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Damir Mahmutović, MA, vanr.prof.;</w:t>
            </w:r>
          </w:p>
          <w:p w14:paraId="529F6E7D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0603EC34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Edin Suljetović, stručnjak iz prakse</w:t>
            </w:r>
          </w:p>
        </w:tc>
        <w:tc>
          <w:tcPr>
            <w:tcW w:w="111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4258E688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2 P </w:t>
            </w:r>
          </w:p>
          <w:p w14:paraId="69715D72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2C257463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3466CEF6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4V</w:t>
            </w:r>
          </w:p>
          <w:p w14:paraId="2C406888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52638DC7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199CEBAE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00402EAB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</w:tc>
        <w:tc>
          <w:tcPr>
            <w:tcW w:w="235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1DDC0AA5">
            <w:pPr>
              <w:pStyle w:val="4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Damir Mahmutović, MA, vanr.prof.;</w:t>
            </w:r>
          </w:p>
          <w:p w14:paraId="018DBF57">
            <w:pPr>
              <w:pStyle w:val="4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</w:p>
          <w:p w14:paraId="563A487F">
            <w:pPr>
              <w:pStyle w:val="4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 xml:space="preserve">Edin Suljetović, stručnjak iz prakse </w:t>
            </w:r>
          </w:p>
          <w:p w14:paraId="07CA58E3">
            <w:pPr>
              <w:pStyle w:val="4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</w:p>
          <w:p w14:paraId="7C888AE6">
            <w:pPr>
              <w:pStyle w:val="4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Alisa Brkić MA, viši asistent</w:t>
            </w:r>
          </w:p>
          <w:p w14:paraId="60F06029">
            <w:pPr>
              <w:pStyle w:val="4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</w:p>
        </w:tc>
        <w:tc>
          <w:tcPr>
            <w:tcW w:w="99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79BC2FE2">
            <w:pPr>
              <w:pStyle w:val="4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 xml:space="preserve">2 P </w:t>
            </w:r>
          </w:p>
          <w:p w14:paraId="01BA1093">
            <w:pPr>
              <w:pStyle w:val="4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</w:p>
          <w:p w14:paraId="228610B1">
            <w:pPr>
              <w:pStyle w:val="4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</w:p>
          <w:p w14:paraId="6BA08F92">
            <w:pPr>
              <w:pStyle w:val="4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 xml:space="preserve">2 V </w:t>
            </w:r>
          </w:p>
          <w:p w14:paraId="7C4807B8">
            <w:pPr>
              <w:pStyle w:val="4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</w:p>
          <w:p w14:paraId="555510CD">
            <w:pPr>
              <w:pStyle w:val="4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</w:p>
          <w:p w14:paraId="3F92D9A3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2V</w:t>
            </w:r>
          </w:p>
        </w:tc>
        <w:tc>
          <w:tcPr>
            <w:tcW w:w="255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7D7008C">
            <w:pPr>
              <w:pStyle w:val="4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 xml:space="preserve">Obrazloženje: </w:t>
            </w:r>
          </w:p>
          <w:p w14:paraId="29E911C6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Prijedlog za Izmjene i dopune PRN-e sačinjen je na osnovu tupanja u radni odnos saradnika u saradničko zvanje viši asistent.</w:t>
            </w:r>
          </w:p>
        </w:tc>
      </w:tr>
      <w:tr w14:paraId="201DF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18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299CA7A9">
            <w:pPr>
              <w:pStyle w:val="4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Tehnika glasa IV</w:t>
            </w:r>
          </w:p>
          <w:p w14:paraId="54249B07">
            <w:pPr>
              <w:pStyle w:val="4"/>
              <w:rPr>
                <w:rFonts w:ascii="Times New Roman" w:hAnsi="Times New Roman"/>
                <w:lang w:val="bs-Latn-BA"/>
              </w:rPr>
            </w:pPr>
          </w:p>
          <w:p w14:paraId="0E811E48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Studijski program: „Gluma“ </w:t>
            </w:r>
          </w:p>
          <w:p w14:paraId="3F548482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Uža umjetnička oblast: „Gluma“ </w:t>
            </w:r>
          </w:p>
          <w:p w14:paraId="788AB61B">
            <w:pPr>
              <w:pStyle w:val="4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(Obavezni).</w:t>
            </w:r>
            <w:r>
              <w:rPr>
                <w:rFonts w:ascii="Times New Roman" w:hAnsi="Times New Roman"/>
                <w:lang w:val="bs-Latn-BA"/>
              </w:rPr>
              <w:t xml:space="preserve"> </w:t>
            </w:r>
          </w:p>
        </w:tc>
        <w:tc>
          <w:tcPr>
            <w:tcW w:w="99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46C8E528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II/IV</w:t>
            </w:r>
          </w:p>
        </w:tc>
        <w:tc>
          <w:tcPr>
            <w:tcW w:w="1097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4D168710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2+1 </w:t>
            </w:r>
          </w:p>
          <w:p w14:paraId="3721D6AA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 </w:t>
            </w:r>
          </w:p>
          <w:p w14:paraId="32644837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</w:tc>
        <w:tc>
          <w:tcPr>
            <w:tcW w:w="229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2374266B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Emina Goletić Faković MA, docent</w:t>
            </w:r>
          </w:p>
          <w:p w14:paraId="47F6D19F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0E77E23C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Edin Suljetović,stručnjak iz prakse</w:t>
            </w:r>
          </w:p>
        </w:tc>
        <w:tc>
          <w:tcPr>
            <w:tcW w:w="111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43B34C81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2 P </w:t>
            </w:r>
          </w:p>
          <w:p w14:paraId="5D0D79D0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6C2BA526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44D29577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1V</w:t>
            </w:r>
          </w:p>
          <w:p w14:paraId="65A35D49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</w:tc>
        <w:tc>
          <w:tcPr>
            <w:tcW w:w="235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6EEA84A5">
            <w:pPr>
              <w:pStyle w:val="4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Emina Goletić Faković MA, docent</w:t>
            </w:r>
          </w:p>
          <w:p w14:paraId="46DD181F">
            <w:pPr>
              <w:pStyle w:val="4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</w:p>
          <w:p w14:paraId="24E18744">
            <w:pPr>
              <w:pStyle w:val="4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Alisa Brkić MA, viši asistent</w:t>
            </w:r>
          </w:p>
          <w:p w14:paraId="06FB3945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6C4D918F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18CE3922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39313DA6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</w:tc>
        <w:tc>
          <w:tcPr>
            <w:tcW w:w="99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2E07F2E6">
            <w:pPr>
              <w:pStyle w:val="4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2 P</w:t>
            </w:r>
          </w:p>
          <w:p w14:paraId="677325B8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1BCF5349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4B010124">
            <w:pPr>
              <w:pStyle w:val="4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 xml:space="preserve">1 V </w:t>
            </w:r>
          </w:p>
          <w:p w14:paraId="30BE662A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16F76726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22FDFD92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106562BB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7E603B42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</w:tc>
        <w:tc>
          <w:tcPr>
            <w:tcW w:w="255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68C3004">
            <w:pPr>
              <w:pStyle w:val="4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 xml:space="preserve">Obrazloženje: </w:t>
            </w:r>
          </w:p>
          <w:p w14:paraId="7A3F421E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Prijedlog za Izmjene i dopune PRN-e sačinjen je na osnovu tupanja u radni odnos saradnika u saradničko zvanje viši asistent.</w:t>
            </w:r>
          </w:p>
        </w:tc>
      </w:tr>
      <w:tr w14:paraId="23818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18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4C2392C5">
            <w:pPr>
              <w:pStyle w:val="4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Scenske umjetničke vještine IV</w:t>
            </w:r>
          </w:p>
          <w:p w14:paraId="100A541C">
            <w:pPr>
              <w:pStyle w:val="4"/>
              <w:rPr>
                <w:rFonts w:ascii="Times New Roman" w:hAnsi="Times New Roman"/>
                <w:lang w:val="bs-Latn-BA"/>
              </w:rPr>
            </w:pPr>
          </w:p>
          <w:p w14:paraId="5CD01CD0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Studijski program: „Gluma“ </w:t>
            </w:r>
          </w:p>
          <w:p w14:paraId="07BEC2D7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Uža umjetnička oblast: „Gluma“ </w:t>
            </w:r>
          </w:p>
          <w:p w14:paraId="5311D66D">
            <w:pPr>
              <w:pStyle w:val="4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(Obavezni).</w:t>
            </w:r>
            <w:r>
              <w:rPr>
                <w:rFonts w:ascii="Times New Roman" w:hAnsi="Times New Roman"/>
                <w:lang w:val="bs-Latn-BA"/>
              </w:rPr>
              <w:t xml:space="preserve"> </w:t>
            </w:r>
          </w:p>
        </w:tc>
        <w:tc>
          <w:tcPr>
            <w:tcW w:w="99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41F6780F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II/IV</w:t>
            </w:r>
          </w:p>
        </w:tc>
        <w:tc>
          <w:tcPr>
            <w:tcW w:w="1097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7DC0F350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1+1 </w:t>
            </w:r>
          </w:p>
          <w:p w14:paraId="0B81AECE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 </w:t>
            </w:r>
          </w:p>
          <w:p w14:paraId="37583574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</w:tc>
        <w:tc>
          <w:tcPr>
            <w:tcW w:w="229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40026636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mr.sc. Sanela Babić, red.prof</w:t>
            </w:r>
          </w:p>
          <w:p w14:paraId="3596DB5D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67F66E62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Edin Suljetović,stručnjak iz prakse</w:t>
            </w:r>
          </w:p>
        </w:tc>
        <w:tc>
          <w:tcPr>
            <w:tcW w:w="111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0A520C36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1 P </w:t>
            </w:r>
          </w:p>
          <w:p w14:paraId="1B5D316F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7680D001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11F32C73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1V</w:t>
            </w:r>
          </w:p>
          <w:p w14:paraId="525533FF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</w:tc>
        <w:tc>
          <w:tcPr>
            <w:tcW w:w="235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593DDB36">
            <w:pPr>
              <w:pStyle w:val="4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mr.sc. Sanela Babić, red.prof</w:t>
            </w:r>
          </w:p>
          <w:p w14:paraId="77E5B543">
            <w:pPr>
              <w:pStyle w:val="4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</w:p>
          <w:p w14:paraId="591D368E">
            <w:pPr>
              <w:pStyle w:val="4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Alisa Brkić MA, viši asistent</w:t>
            </w:r>
          </w:p>
          <w:p w14:paraId="649C5298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238E480D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6AB3304F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2486F935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</w:tc>
        <w:tc>
          <w:tcPr>
            <w:tcW w:w="99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2B4046E3">
            <w:pPr>
              <w:pStyle w:val="4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1 P</w:t>
            </w:r>
          </w:p>
          <w:p w14:paraId="65B095F8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4EDAF4B6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2DD75EA9">
            <w:pPr>
              <w:pStyle w:val="4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 xml:space="preserve">1 V </w:t>
            </w:r>
          </w:p>
          <w:p w14:paraId="430D9239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385F6663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5143B60E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6862D1CC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64042C37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</w:tc>
        <w:tc>
          <w:tcPr>
            <w:tcW w:w="255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F596397">
            <w:pPr>
              <w:pStyle w:val="4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 xml:space="preserve">Obrazloženje: </w:t>
            </w:r>
          </w:p>
          <w:p w14:paraId="7394C1C7">
            <w:pPr>
              <w:pStyle w:val="4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Prijedlog za Izmjene i dopune PRN-e sačinjen je na osnovu tupanja u radni odnos saradnika u saradničko zvanje viši asistent.</w:t>
            </w:r>
          </w:p>
        </w:tc>
      </w:tr>
    </w:tbl>
    <w:p w14:paraId="1BC10FD0">
      <w:pPr>
        <w:pStyle w:val="4"/>
        <w:rPr>
          <w:rFonts w:ascii="Times New Roman" w:hAnsi="Times New Roman"/>
          <w:lang w:val="bs-Latn-BA"/>
        </w:rPr>
      </w:pPr>
    </w:p>
    <w:p w14:paraId="728F825C">
      <w:pPr>
        <w:pStyle w:val="4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 xml:space="preserve">Predlagač: </w:t>
      </w:r>
    </w:p>
    <w:p w14:paraId="209F96F6">
      <w:pPr>
        <w:pStyle w:val="4"/>
        <w:rPr>
          <w:rFonts w:ascii="Times New Roman" w:hAnsi="Times New Roman"/>
          <w:lang w:val="bs-Latn-BA"/>
        </w:rPr>
      </w:pPr>
    </w:p>
    <w:p w14:paraId="47EBA36B">
      <w:pPr>
        <w:pStyle w:val="4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 xml:space="preserve">Prodekan za nastavu i studentska pitanja: </w:t>
      </w:r>
    </w:p>
    <w:p w14:paraId="78103439">
      <w:pPr>
        <w:pStyle w:val="4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 xml:space="preserve">Irfan Kasumović MA, docent </w:t>
      </w:r>
    </w:p>
    <w:p w14:paraId="0E54EEC9"/>
    <w:sectPr>
      <w:pgSz w:w="15840" w:h="12240" w:orient="landscape"/>
      <w:pgMar w:top="245" w:right="720" w:bottom="245" w:left="72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F0D2E"/>
    <w:rsid w:val="66AF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bs-Latn-BA" w:eastAsia="bs-Latn-BA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autoRedefine/>
    <w:qFormat/>
    <w:uiPriority w:val="0"/>
    <w:rPr>
      <w:rFonts w:ascii="Times New Roman" w:hAnsi="Times New Roman" w:eastAsia="Times New Roman" w:cs="Times New Roman"/>
      <w:sz w:val="22"/>
      <w:szCs w:val="22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2025-11-18T12:51:00Z</dcterms:created>
  <dc:creator>Korisnik</dc:creator>
  <cp:lastModifiedBy>Korisnik</cp:lastModifiedBy>
  <dcterms:modified xsi:type="dcterms:W3CDTF">2025-11-18T12:55:48Z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E52FCC82324841A1B37C7F0F150A34D3_11</vt:lpwstr>
  </property>
</Properties>
</file>